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26270">
      <w:pPr>
        <w:keepNext w:val="0"/>
        <w:keepLines w:val="0"/>
        <w:widowControl/>
        <w:suppressLineNumbers w:val="0"/>
        <w:jc w:val="both"/>
        <w:rPr>
          <w:rFonts w:hint="default" w:ascii="Cambria" w:hAnsi="Cambria" w:cs="Cambria"/>
          <w:sz w:val="24"/>
          <w:szCs w:val="24"/>
        </w:rPr>
      </w:pPr>
    </w:p>
    <w:p w14:paraId="1991C322">
      <w:pPr>
        <w:pStyle w:val="2"/>
        <w:keepNext w:val="0"/>
        <w:keepLines w:val="0"/>
        <w:widowControl/>
        <w:suppressLineNumbers w:val="0"/>
        <w:jc w:val="both"/>
        <w:rPr>
          <w:rFonts w:hint="default" w:ascii="Cambria" w:hAnsi="Cambria" w:cs="Cambria"/>
          <w:sz w:val="24"/>
          <w:szCs w:val="24"/>
        </w:rPr>
      </w:pPr>
      <w:r>
        <w:rPr>
          <w:rStyle w:val="7"/>
          <w:rFonts w:hint="default" w:ascii="Cambria" w:hAnsi="Cambria" w:cs="Cambria"/>
          <w:b/>
          <w:bCs/>
          <w:sz w:val="24"/>
          <w:szCs w:val="24"/>
        </w:rPr>
        <w:t xml:space="preserve">STATE AND SOCIAL CLASSES </w:t>
      </w:r>
    </w:p>
    <w:p w14:paraId="17EEC8F5">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The study of the relationship between the state and social classes begins with a deceptively simple but deeply political question: </w:t>
      </w:r>
      <w:r>
        <w:rPr>
          <w:rStyle w:val="5"/>
          <w:rFonts w:hint="default" w:ascii="Cambria" w:hAnsi="Cambria" w:cs="Cambria"/>
          <w:sz w:val="24"/>
          <w:szCs w:val="24"/>
        </w:rPr>
        <w:t>Is the state neutral, or does it reflect the interests of dominant groups in society?</w:t>
      </w:r>
      <w:r>
        <w:rPr>
          <w:rFonts w:hint="default" w:ascii="Cambria" w:hAnsi="Cambria" w:cs="Cambria"/>
          <w:sz w:val="24"/>
          <w:szCs w:val="24"/>
        </w:rPr>
        <w:t xml:space="preserve"> This question lies at the heart of comparative political analysis, and different thinkers across time have answered it in strikingly different ways, each shaped by the historical context in which they wrote.</w:t>
      </w:r>
    </w:p>
    <w:p w14:paraId="7651F9AC">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The intellectual journey begins with </w:t>
      </w:r>
      <w:r>
        <w:rPr>
          <w:rFonts w:hint="default" w:ascii="Cambria" w:hAnsi="Cambria" w:cs="Cambria"/>
          <w:b/>
          <w:bCs/>
          <w:sz w:val="24"/>
          <w:szCs w:val="24"/>
        </w:rPr>
        <w:t>Karl Marx</w:t>
      </w:r>
      <w:r>
        <w:rPr>
          <w:rFonts w:hint="default" w:ascii="Cambria" w:hAnsi="Cambria" w:cs="Cambria"/>
          <w:sz w:val="24"/>
          <w:szCs w:val="24"/>
        </w:rPr>
        <w:t xml:space="preserve">, writing in the 19th century during the rise of industrial capitalism. Observing the stark inequalities between factory owners and workers, Marx conceptualised society as fundamentally divided into classes based on their relationship to the means of production—primarily the bourgeoisie, who owned capital, and the proletariat, who sold their labour. In works such as </w:t>
      </w:r>
      <w:r>
        <w:rPr>
          <w:rStyle w:val="5"/>
          <w:rFonts w:hint="default" w:ascii="Cambria" w:hAnsi="Cambria" w:cs="Cambria"/>
          <w:b/>
          <w:bCs/>
          <w:sz w:val="24"/>
          <w:szCs w:val="24"/>
        </w:rPr>
        <w:t>The Communist Manifesto</w:t>
      </w:r>
      <w:r>
        <w:rPr>
          <w:rFonts w:hint="default" w:ascii="Cambria" w:hAnsi="Cambria" w:cs="Cambria"/>
          <w:b/>
          <w:bCs/>
          <w:sz w:val="24"/>
          <w:szCs w:val="24"/>
        </w:rPr>
        <w:t xml:space="preserve"> (1848, co-authored with Friedrich Engels) and </w:t>
      </w:r>
      <w:r>
        <w:rPr>
          <w:rStyle w:val="5"/>
          <w:rFonts w:hint="default" w:ascii="Cambria" w:hAnsi="Cambria" w:cs="Cambria"/>
          <w:b/>
          <w:bCs/>
          <w:sz w:val="24"/>
          <w:szCs w:val="24"/>
        </w:rPr>
        <w:t>Das Kapital</w:t>
      </w:r>
      <w:r>
        <w:rPr>
          <w:rFonts w:hint="default" w:ascii="Cambria" w:hAnsi="Cambria" w:cs="Cambria"/>
          <w:b/>
          <w:bCs/>
          <w:sz w:val="24"/>
          <w:szCs w:val="24"/>
        </w:rPr>
        <w:t xml:space="preserve"> (1867)</w:t>
      </w:r>
      <w:r>
        <w:rPr>
          <w:rFonts w:hint="default" w:ascii="Cambria" w:hAnsi="Cambria" w:cs="Cambria"/>
          <w:sz w:val="24"/>
          <w:szCs w:val="24"/>
        </w:rPr>
        <w:t>, Marx advanced the argument that the state is not an impartial arbiter standing above society, but rather an instrument of class domination. Laws, institutions, and policies, in this view, are structured to protect private property and ensure the continued accumulation of capital. His famous assertion that the modern state is merely “a committee for managing the affairs of the bourgeoisie” captures this idea succinctly. Importantly, Marx did not view the state as permanent; in a future classless society, it would “wither away,” having lost its function as an instrument of class rule.</w:t>
      </w:r>
    </w:p>
    <w:p w14:paraId="43A35EBD">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Building on and radicalising this insight, </w:t>
      </w:r>
      <w:r>
        <w:rPr>
          <w:rFonts w:hint="default" w:ascii="Cambria" w:hAnsi="Cambria" w:cs="Cambria"/>
          <w:b/>
          <w:bCs/>
          <w:sz w:val="24"/>
          <w:szCs w:val="24"/>
        </w:rPr>
        <w:t>Vladimir Lenin</w:t>
      </w:r>
      <w:r>
        <w:rPr>
          <w:rFonts w:hint="default" w:ascii="Cambria" w:hAnsi="Cambria" w:cs="Cambria"/>
          <w:sz w:val="24"/>
          <w:szCs w:val="24"/>
        </w:rPr>
        <w:t xml:space="preserve">, writing in the context of early 20th-century Russia, sharpened the understanding of the state as a coercive apparatus. In </w:t>
      </w:r>
      <w:r>
        <w:rPr>
          <w:rStyle w:val="5"/>
          <w:rFonts w:hint="default" w:ascii="Cambria" w:hAnsi="Cambria" w:cs="Cambria"/>
          <w:b/>
          <w:bCs/>
          <w:sz w:val="24"/>
          <w:szCs w:val="24"/>
        </w:rPr>
        <w:t>State and Revolution</w:t>
      </w:r>
      <w:r>
        <w:rPr>
          <w:rFonts w:hint="default" w:ascii="Cambria" w:hAnsi="Cambria" w:cs="Cambria"/>
          <w:b/>
          <w:bCs/>
          <w:sz w:val="24"/>
          <w:szCs w:val="24"/>
        </w:rPr>
        <w:t xml:space="preserve"> (1917)</w:t>
      </w:r>
      <w:r>
        <w:rPr>
          <w:rFonts w:hint="default" w:ascii="Cambria" w:hAnsi="Cambria" w:cs="Cambria"/>
          <w:sz w:val="24"/>
          <w:szCs w:val="24"/>
        </w:rPr>
        <w:t>, Lenin argued that the state is not merely a passive reflection of class interests but an active “machine of oppression,” consisting of institutions such as the army, police, and bureaucracy, all designed to suppress subordinate classes. Even democratic systems under capitalism, he argued, are fundamentally “bourgeois democracies,” masking inequality behind the appearance of formal equality. For Lenin, this meant that the existing state could not simply be reformed—it had to be dismantled through revolution and replaced by a proletarian state, which would eventually also disappear once class antagonisms were resolved.</w:t>
      </w:r>
    </w:p>
    <w:p w14:paraId="0B29DFA1">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However, as capitalist societies evolved, especially in Western Europe, the state began to undertake functions—such as welfare provision, labour protection, and public services—that seemed to contradict a purely instrumental view. This led thinkers like </w:t>
      </w:r>
      <w:r>
        <w:rPr>
          <w:rFonts w:hint="default" w:ascii="Cambria" w:hAnsi="Cambria" w:cs="Cambria"/>
          <w:b/>
          <w:bCs/>
          <w:sz w:val="24"/>
          <w:szCs w:val="24"/>
        </w:rPr>
        <w:t>Nicos Poulantzas</w:t>
      </w:r>
      <w:r>
        <w:rPr>
          <w:rFonts w:hint="default" w:ascii="Cambria" w:hAnsi="Cambria" w:cs="Cambria"/>
          <w:sz w:val="24"/>
          <w:szCs w:val="24"/>
        </w:rPr>
        <w:t xml:space="preserve"> to reformulate Marxist theory in a more structurally nuanced direction. In </w:t>
      </w:r>
      <w:r>
        <w:rPr>
          <w:rStyle w:val="5"/>
          <w:rFonts w:hint="default" w:ascii="Cambria" w:hAnsi="Cambria" w:cs="Cambria"/>
          <w:b/>
          <w:bCs/>
          <w:sz w:val="24"/>
          <w:szCs w:val="24"/>
        </w:rPr>
        <w:t>Political Power and Social Classes</w:t>
      </w:r>
      <w:r>
        <w:rPr>
          <w:rFonts w:hint="default" w:ascii="Cambria" w:hAnsi="Cambria" w:cs="Cambria"/>
          <w:b/>
          <w:bCs/>
          <w:sz w:val="24"/>
          <w:szCs w:val="24"/>
        </w:rPr>
        <w:t xml:space="preserve"> (1968) </w:t>
      </w:r>
      <w:r>
        <w:rPr>
          <w:rFonts w:hint="default" w:ascii="Cambria" w:hAnsi="Cambria" w:cs="Cambria"/>
          <w:sz w:val="24"/>
          <w:szCs w:val="24"/>
        </w:rPr>
        <w:t xml:space="preserve">and </w:t>
      </w:r>
      <w:r>
        <w:rPr>
          <w:rStyle w:val="5"/>
          <w:rFonts w:hint="default" w:ascii="Cambria" w:hAnsi="Cambria" w:cs="Cambria"/>
          <w:b/>
          <w:bCs/>
          <w:sz w:val="24"/>
          <w:szCs w:val="24"/>
        </w:rPr>
        <w:t>State, Power, Socialism</w:t>
      </w:r>
      <w:r>
        <w:rPr>
          <w:rFonts w:hint="default" w:ascii="Cambria" w:hAnsi="Cambria" w:cs="Cambria"/>
          <w:b/>
          <w:bCs/>
          <w:sz w:val="24"/>
          <w:szCs w:val="24"/>
        </w:rPr>
        <w:t xml:space="preserve"> (1978),</w:t>
      </w:r>
      <w:r>
        <w:rPr>
          <w:rFonts w:hint="default" w:ascii="Cambria" w:hAnsi="Cambria" w:cs="Cambria"/>
          <w:sz w:val="24"/>
          <w:szCs w:val="24"/>
        </w:rPr>
        <w:t xml:space="preserve"> Poulantzas argued that the state possesses what he called </w:t>
      </w:r>
      <w:r>
        <w:rPr>
          <w:rFonts w:hint="default" w:ascii="Cambria" w:hAnsi="Cambria" w:cs="Cambria"/>
          <w:b/>
          <w:bCs/>
          <w:sz w:val="24"/>
          <w:szCs w:val="24"/>
        </w:rPr>
        <w:t>“relative autonomy.”</w:t>
      </w:r>
      <w:r>
        <w:rPr>
          <w:rFonts w:hint="default" w:ascii="Cambria" w:hAnsi="Cambria" w:cs="Cambria"/>
          <w:sz w:val="24"/>
          <w:szCs w:val="24"/>
        </w:rPr>
        <w:t xml:space="preserve"> This does not mean that the state is neutral, but rather that it is not directly controlled by individual capitalists. Instead, it is structurally embedded within the capitalist system and works to ensure its long-term stability. The state may, at times, implement policies that appear to favour workers—such as social welfare programmes—but these are better understood as mechanisms to stabilise capitalism by preventing social unrest and maintaining legitimacy. Thus, the state mediates between competing class interests while ultimately preserving the capitalist order.</w:t>
      </w:r>
    </w:p>
    <w:p w14:paraId="47FCD124">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Around the same time, </w:t>
      </w:r>
      <w:r>
        <w:rPr>
          <w:rFonts w:hint="default" w:ascii="Cambria" w:hAnsi="Cambria" w:cs="Cambria"/>
          <w:b/>
          <w:bCs/>
          <w:sz w:val="24"/>
          <w:szCs w:val="24"/>
        </w:rPr>
        <w:t>Ralph Miliband</w:t>
      </w:r>
      <w:r>
        <w:rPr>
          <w:rFonts w:hint="default" w:ascii="Cambria" w:hAnsi="Cambria" w:cs="Cambria"/>
          <w:sz w:val="24"/>
          <w:szCs w:val="24"/>
        </w:rPr>
        <w:t xml:space="preserve"> offered a different kind of critique, shifting the focus from abstract structures to concrete actors. In </w:t>
      </w:r>
      <w:r>
        <w:rPr>
          <w:rStyle w:val="5"/>
          <w:rFonts w:hint="default" w:ascii="Cambria" w:hAnsi="Cambria" w:cs="Cambria"/>
          <w:b/>
          <w:bCs/>
          <w:sz w:val="24"/>
          <w:szCs w:val="24"/>
        </w:rPr>
        <w:t>The State in Capitalist Society</w:t>
      </w:r>
      <w:r>
        <w:rPr>
          <w:rFonts w:hint="default" w:ascii="Cambria" w:hAnsi="Cambria" w:cs="Cambria"/>
          <w:b/>
          <w:bCs/>
          <w:sz w:val="24"/>
          <w:szCs w:val="24"/>
        </w:rPr>
        <w:t xml:space="preserve"> (1969)</w:t>
      </w:r>
      <w:r>
        <w:rPr>
          <w:rFonts w:hint="default" w:ascii="Cambria" w:hAnsi="Cambria" w:cs="Cambria"/>
          <w:sz w:val="24"/>
          <w:szCs w:val="24"/>
        </w:rPr>
        <w:t>, Miliband examined the social backgrounds of political and administrative elites and found that they overwhelmingly came from privileged, upper-class environments. This led him to argue that the state is effectively controlled by a network of elites who share similar educational, social, and ideological orientations, all of which align with capitalist interests. Unlike Poulantzas, who emphasised structural constraints, Miliband highlighted the role of individuals and elite cohesion, making his approach more empirical and sociological in nature.</w:t>
      </w:r>
    </w:p>
    <w:p w14:paraId="42B9BDFD">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Challenging the Marxist tradition altogether, </w:t>
      </w:r>
      <w:r>
        <w:rPr>
          <w:rFonts w:hint="default" w:ascii="Cambria" w:hAnsi="Cambria" w:cs="Cambria"/>
          <w:b/>
          <w:bCs/>
          <w:sz w:val="24"/>
          <w:szCs w:val="24"/>
        </w:rPr>
        <w:t>Robert Dahl,</w:t>
      </w:r>
      <w:r>
        <w:rPr>
          <w:rFonts w:hint="default" w:ascii="Cambria" w:hAnsi="Cambria" w:cs="Cambria"/>
          <w:sz w:val="24"/>
          <w:szCs w:val="24"/>
        </w:rPr>
        <w:t xml:space="preserve"> writing in the context of American democracy, proposed a pluralist view of the state. In his influential work </w:t>
      </w:r>
      <w:r>
        <w:rPr>
          <w:rStyle w:val="5"/>
          <w:rFonts w:hint="default" w:ascii="Cambria" w:hAnsi="Cambria" w:cs="Cambria"/>
          <w:b/>
          <w:bCs/>
          <w:sz w:val="24"/>
          <w:szCs w:val="24"/>
        </w:rPr>
        <w:t>Who Governs?</w:t>
      </w:r>
      <w:r>
        <w:rPr>
          <w:rFonts w:hint="default" w:ascii="Cambria" w:hAnsi="Cambria" w:cs="Cambria"/>
          <w:b/>
          <w:bCs/>
          <w:sz w:val="24"/>
          <w:szCs w:val="24"/>
        </w:rPr>
        <w:t xml:space="preserve"> (1961)</w:t>
      </w:r>
      <w:r>
        <w:rPr>
          <w:rFonts w:hint="default" w:ascii="Cambria" w:hAnsi="Cambria" w:cs="Cambria"/>
          <w:sz w:val="24"/>
          <w:szCs w:val="24"/>
        </w:rPr>
        <w:t xml:space="preserve">, Dahl argued that power in modern societies is not concentrated in the hands of a single class but is instead distributed among multiple competing groups. Business interests, labour unions, civil society organisations, and citizens all participate in shaping policy outcomes. The state, in this perspective, acts as a neutral arena or referee, balancing competing demands rather than serving a dominant class. Dahl’s concept of </w:t>
      </w:r>
      <w:r>
        <w:rPr>
          <w:rFonts w:hint="default" w:ascii="Cambria" w:hAnsi="Cambria" w:cs="Cambria"/>
          <w:b/>
          <w:bCs/>
          <w:sz w:val="24"/>
          <w:szCs w:val="24"/>
        </w:rPr>
        <w:t xml:space="preserve">“polyarchy” </w:t>
      </w:r>
      <w:r>
        <w:rPr>
          <w:rFonts w:hint="default" w:ascii="Cambria" w:hAnsi="Cambria" w:cs="Cambria"/>
          <w:sz w:val="24"/>
          <w:szCs w:val="24"/>
        </w:rPr>
        <w:t>captures this idea of a system characterised by multiple centres of power and widespread participation, standing in sharp contrast to Marxist notions of class domination.</w:t>
      </w:r>
    </w:p>
    <w:p w14:paraId="53BC9D6C">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The narrative takes a decisive turn when we move beyond Western societies to the postcolonial world, where the assumptions of classical Marxism do not fully apply. It is here that </w:t>
      </w:r>
      <w:r>
        <w:rPr>
          <w:rFonts w:hint="default" w:ascii="Cambria" w:hAnsi="Cambria" w:cs="Cambria"/>
          <w:b/>
          <w:bCs/>
          <w:sz w:val="24"/>
          <w:szCs w:val="24"/>
        </w:rPr>
        <w:t xml:space="preserve">Hamza Alavi </w:t>
      </w:r>
      <w:r>
        <w:rPr>
          <w:rFonts w:hint="default" w:ascii="Cambria" w:hAnsi="Cambria" w:cs="Cambria"/>
          <w:sz w:val="24"/>
          <w:szCs w:val="24"/>
        </w:rPr>
        <w:t xml:space="preserve">makes his critical intervention. Writing in his seminal essay </w:t>
      </w:r>
      <w:r>
        <w:rPr>
          <w:rFonts w:hint="default" w:ascii="Cambria" w:hAnsi="Cambria" w:cs="Cambria"/>
          <w:b/>
          <w:bCs/>
          <w:sz w:val="24"/>
          <w:szCs w:val="24"/>
        </w:rPr>
        <w:t>“The State in Post-Colonial Societies: Pakistan and Bangladesh”</w:t>
      </w:r>
      <w:r>
        <w:rPr>
          <w:rFonts w:hint="default" w:ascii="Cambria" w:hAnsi="Cambria" w:cs="Cambria"/>
          <w:sz w:val="24"/>
          <w:szCs w:val="24"/>
        </w:rPr>
        <w:t xml:space="preserve"> (1972), Alavi observed that in countries emerging from colonial rule, the state often appears disproportionately powerful compared to society. He described this as the phenomenon of the</w:t>
      </w:r>
      <w:r>
        <w:rPr>
          <w:rFonts w:hint="default" w:ascii="Cambria" w:hAnsi="Cambria" w:cs="Cambria"/>
          <w:b/>
          <w:bCs/>
          <w:sz w:val="24"/>
          <w:szCs w:val="24"/>
        </w:rPr>
        <w:t xml:space="preserve"> “overdeveloped state.”</w:t>
      </w:r>
      <w:r>
        <w:rPr>
          <w:rFonts w:hint="default" w:ascii="Cambria" w:hAnsi="Cambria" w:cs="Cambria"/>
          <w:sz w:val="24"/>
          <w:szCs w:val="24"/>
        </w:rPr>
        <w:t xml:space="preserve"> Under colonialism, administrative and military institutions were highly developed to maintain control, while indigenous capitalist classes remained weak and fragmented. After independence, this imbalance persisted. Unlike the clear class dominance seen in Marx’s Europe, postcolonial societies exhibited a more complex three-tier class structure consisting of an indigenous bourgeoisie, a landed elite, and a metropolitan bourgeoisie linked to global capital. Because no single class was strong enough to dominate, the state acquired a degree of relative autonomy, acting as a mediator among competing interests. However, this autonomy often translated into the dominance of what Alavi termed a “bureaucratic-military oligarchy,” where civil servants and military elites effectively controlled the state apparatus. This framework proved particularly powerful in explaining political developments in countries like Pakistan, where military intervention in politics became recurrent, but it also offers insights into broader South Asian dynamics, including India and Bangladesh, where the state plays a central role in balancing diverse and often competing social forces.</w:t>
      </w:r>
    </w:p>
    <w:p w14:paraId="39085038">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Taken together, this intellectual trajectory reveals a gradual deepening of our understanding of the state. What begins with Marx as a relatively straightforward instrument of class domination becomes, through Lenin, a coercive apparatus; through Poulantzas, a structurally embedded stabiliser of capitalism; through Miliband, a network of elite control; through Dahl, a pluralistic arena of competition; and finally, through Alavi, an autonomous and often dominant actor in postcolonial societies. The central debate remains unresolved but intellectually fertile: </w:t>
      </w:r>
      <w:r>
        <w:rPr>
          <w:rStyle w:val="5"/>
          <w:rFonts w:hint="default" w:ascii="Cambria" w:hAnsi="Cambria" w:cs="Cambria"/>
          <w:sz w:val="24"/>
          <w:szCs w:val="24"/>
        </w:rPr>
        <w:t>Does political power ultimately reflect economic power, or does the state possess its own independent logic and agency?</w:t>
      </w:r>
      <w:r>
        <w:rPr>
          <w:rFonts w:hint="default" w:ascii="Cambria" w:hAnsi="Cambria" w:cs="Cambria"/>
          <w:sz w:val="24"/>
          <w:szCs w:val="24"/>
        </w:rPr>
        <w:t xml:space="preserve"> This is the question you want your students to grapple with—and once they see this evolution as a story, the topic becomes not confusing, but conceptually alive.</w:t>
      </w:r>
    </w:p>
    <w:p w14:paraId="1A14A95F">
      <w:pPr>
        <w:jc w:val="both"/>
        <w:rPr>
          <w:rFonts w:hint="default" w:ascii="Cambria" w:hAnsi="Cambria" w:cs="Cambria"/>
          <w:sz w:val="24"/>
          <w:szCs w:val="24"/>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E74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Office_12.1.0.25830_F1E327BC-269C-435d-A152-05C5408002CA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2026-04-03T16:05:31Z</dcterms:created>
  <dc:creator>ASUS</dc:creator>
  <cp:lastModifiedBy>WPS_1743332713</cp:lastModifiedBy>
  <dcterms:modified xsi:type="dcterms:W3CDTF">2026-04-03T16:08:13Z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1033-12.1.0.25830</vt:lpwstr>
  </property>
  <property fmtid="{D5CDD505-2E9C-101B-9397-08002B2CF9AE}" pid="3" name="KSOTemplateDocerSaveRecord">
    <vt:lpwstr>eyJoZGlkIjoiNGU5YTk2NWU3OTRhNTU0YjZlNWE0ODExMjY4YzM0MTgiLCJ1c2VySWQiOiI1Njc1NjUzODgwMzgifQ==</vt:lpwstr>
  </property>
  <property fmtid="{D5CDD505-2E9C-101B-9397-08002B2CF9AE}" pid="4" name="ICV">
    <vt:lpwstr>5DCD969D0834413381C131A587D78130_12</vt:lpwstr>
  </property>
</Properties>
</file>