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CB0D8">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ORIGINS AND GROWTH OF FEMINISM IN GREAT BRITAIN</w:t>
      </w:r>
    </w:p>
    <w:p w14:paraId="54BE5F16">
      <w:pPr>
        <w:pStyle w:val="7"/>
        <w:keepNext w:val="0"/>
        <w:keepLines w:val="0"/>
        <w:widowControl/>
        <w:suppressLineNumbers w:val="0"/>
        <w:jc w:val="both"/>
        <w:rPr>
          <w:rFonts w:hint="default" w:ascii="Cambria" w:hAnsi="Cambria" w:cs="Cambria"/>
          <w:sz w:val="24"/>
          <w:szCs w:val="24"/>
        </w:rPr>
      </w:pPr>
      <w:r>
        <w:rPr>
          <w:rStyle w:val="6"/>
          <w:rFonts w:hint="default" w:ascii="Cambria" w:hAnsi="Cambria" w:cs="Cambria"/>
          <w:sz w:val="24"/>
          <w:szCs w:val="24"/>
        </w:rPr>
        <w:t>(From Rational Debate to Mass Political Movement)</w:t>
      </w:r>
    </w:p>
    <w:p w14:paraId="6C310F12">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A320E26">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 🧭 The Philosophical Genesis: The Rationality Debate (1790s)</w:t>
      </w:r>
    </w:p>
    <w:p w14:paraId="60AA27D1">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origins of British feminism lie in the intellectual contradictions of </w:t>
      </w:r>
      <w:r>
        <w:rPr>
          <w:rStyle w:val="8"/>
          <w:rFonts w:hint="default" w:ascii="Cambria" w:hAnsi="Cambria" w:cs="Cambria"/>
          <w:sz w:val="24"/>
          <w:szCs w:val="24"/>
        </w:rPr>
        <w:t>Enlightenment liberalism</w:t>
      </w:r>
      <w:r>
        <w:rPr>
          <w:rFonts w:hint="default" w:ascii="Cambria" w:hAnsi="Cambria" w:cs="Cambria"/>
          <w:sz w:val="24"/>
          <w:szCs w:val="24"/>
        </w:rPr>
        <w:t xml:space="preserve">, which proclaimed universal rights while excluding women in practice. Early feminist thought therefore emerged not as activism, but as a </w:t>
      </w:r>
      <w:r>
        <w:rPr>
          <w:rStyle w:val="8"/>
          <w:rFonts w:hint="default" w:ascii="Cambria" w:hAnsi="Cambria" w:cs="Cambria"/>
          <w:sz w:val="24"/>
          <w:szCs w:val="24"/>
        </w:rPr>
        <w:t>philosophical critique of exclusion</w:t>
      </w:r>
      <w:r>
        <w:rPr>
          <w:rFonts w:hint="default" w:ascii="Cambria" w:hAnsi="Cambria" w:cs="Cambria"/>
          <w:sz w:val="24"/>
          <w:szCs w:val="24"/>
        </w:rPr>
        <w:t>.</w:t>
      </w:r>
    </w:p>
    <w:p w14:paraId="3F5525F6">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most decisive intervention came from Mary Wollstonecraft in </w:t>
      </w:r>
      <w:r>
        <w:rPr>
          <w:rStyle w:val="6"/>
          <w:rFonts w:hint="default" w:ascii="Cambria" w:hAnsi="Cambria" w:cs="Cambria"/>
          <w:sz w:val="24"/>
          <w:szCs w:val="24"/>
        </w:rPr>
        <w:t>A Vindication of the Rights of Woman</w:t>
      </w:r>
      <w:r>
        <w:rPr>
          <w:rFonts w:hint="default" w:ascii="Cambria" w:hAnsi="Cambria" w:cs="Cambria"/>
          <w:sz w:val="24"/>
          <w:szCs w:val="24"/>
        </w:rPr>
        <w:t xml:space="preserve"> (1792). Wollstonecraft did not initially demand suffrage; instead, she attacked the </w:t>
      </w:r>
      <w:r>
        <w:rPr>
          <w:rStyle w:val="8"/>
          <w:rFonts w:hint="default" w:ascii="Cambria" w:hAnsi="Cambria" w:cs="Cambria"/>
          <w:sz w:val="24"/>
          <w:szCs w:val="24"/>
        </w:rPr>
        <w:t>social construction of gender inequality</w:t>
      </w:r>
      <w:r>
        <w:rPr>
          <w:rFonts w:hint="default" w:ascii="Cambria" w:hAnsi="Cambria" w:cs="Cambria"/>
          <w:sz w:val="24"/>
          <w:szCs w:val="24"/>
        </w:rPr>
        <w:t>. She argued that women’s apparent intellectual inferiority was not natural but “spurious,” produced by their systematic denial of education.</w:t>
      </w:r>
    </w:p>
    <w:p w14:paraId="004AA894">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Her key conceptual shift was transformative: she redefined women not as merely domestic beings but as </w:t>
      </w:r>
      <w:r>
        <w:rPr>
          <w:rStyle w:val="8"/>
          <w:rFonts w:hint="default" w:ascii="Cambria" w:hAnsi="Cambria" w:cs="Cambria"/>
          <w:sz w:val="24"/>
          <w:szCs w:val="24"/>
        </w:rPr>
        <w:t>bearers of civic virtue</w:t>
      </w:r>
      <w:r>
        <w:rPr>
          <w:rFonts w:hint="default" w:ascii="Cambria" w:hAnsi="Cambria" w:cs="Cambria"/>
          <w:sz w:val="24"/>
          <w:szCs w:val="24"/>
        </w:rPr>
        <w:t xml:space="preserve">. If women were to raise rational citizens, they themselves required access to </w:t>
      </w:r>
      <w:r>
        <w:rPr>
          <w:rStyle w:val="8"/>
          <w:rFonts w:hint="default" w:ascii="Cambria" w:hAnsi="Cambria" w:cs="Cambria"/>
          <w:sz w:val="24"/>
          <w:szCs w:val="24"/>
        </w:rPr>
        <w:t>reason, education, and intellectual fellowship</w:t>
      </w:r>
      <w:r>
        <w:rPr>
          <w:rFonts w:hint="default" w:ascii="Cambria" w:hAnsi="Cambria" w:cs="Cambria"/>
          <w:sz w:val="24"/>
          <w:szCs w:val="24"/>
        </w:rPr>
        <w:t xml:space="preserve">. Thus, the earliest phase of British feminism was an epistemological and moral project—grounded in the idea that </w:t>
      </w:r>
      <w:r>
        <w:rPr>
          <w:rStyle w:val="8"/>
          <w:rFonts w:hint="default" w:ascii="Cambria" w:hAnsi="Cambria" w:cs="Cambria"/>
          <w:sz w:val="24"/>
          <w:szCs w:val="24"/>
        </w:rPr>
        <w:t>equality must begin with rational capacity</w:t>
      </w:r>
      <w:r>
        <w:rPr>
          <w:rFonts w:hint="default" w:ascii="Cambria" w:hAnsi="Cambria" w:cs="Cambria"/>
          <w:sz w:val="24"/>
          <w:szCs w:val="24"/>
        </w:rPr>
        <w:t>.</w:t>
      </w:r>
    </w:p>
    <w:p w14:paraId="79FBCA97">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F9E9707">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II. ⚖️ The Structural Hurdle: Coverture and Legal Subordination</w:t>
      </w:r>
    </w:p>
    <w:p w14:paraId="640940C9">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As feminist ideas moved into the 19th century, they confronted the entrenched legal doctrine of </w:t>
      </w:r>
      <w:r>
        <w:rPr>
          <w:rStyle w:val="8"/>
          <w:rFonts w:hint="default" w:ascii="Cambria" w:hAnsi="Cambria" w:cs="Cambria"/>
          <w:sz w:val="24"/>
          <w:szCs w:val="24"/>
        </w:rPr>
        <w:t>coverture</w:t>
      </w:r>
      <w:r>
        <w:rPr>
          <w:rFonts w:hint="default" w:ascii="Cambria" w:hAnsi="Cambria" w:cs="Cambria"/>
          <w:sz w:val="24"/>
          <w:szCs w:val="24"/>
        </w:rPr>
        <w:t>, under which a married woman (</w:t>
      </w:r>
      <w:r>
        <w:rPr>
          <w:rStyle w:val="6"/>
          <w:rFonts w:hint="default" w:ascii="Cambria" w:hAnsi="Cambria" w:cs="Cambria"/>
          <w:sz w:val="24"/>
          <w:szCs w:val="24"/>
        </w:rPr>
        <w:t>feme covert</w:t>
      </w:r>
      <w:r>
        <w:rPr>
          <w:rFonts w:hint="default" w:ascii="Cambria" w:hAnsi="Cambria" w:cs="Cambria"/>
          <w:sz w:val="24"/>
          <w:szCs w:val="24"/>
        </w:rPr>
        <w:t>) had no independent legal identity. Her property, income, and even rights over her children were controlled by her husband.</w:t>
      </w:r>
    </w:p>
    <w:p w14:paraId="7E8CAF3B">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lived reality of this system is powerfully illustrated by Caroline Norton. After escaping an abusive marriage, Norton discovered she had no legal claim over her earnings or her children. Her sustained advocacy resulted in the </w:t>
      </w:r>
      <w:r>
        <w:rPr>
          <w:rStyle w:val="8"/>
          <w:rFonts w:hint="default" w:ascii="Cambria" w:hAnsi="Cambria" w:cs="Cambria"/>
          <w:sz w:val="24"/>
          <w:szCs w:val="24"/>
        </w:rPr>
        <w:t>Custody of Infants Act (1839)</w:t>
      </w:r>
      <w:r>
        <w:rPr>
          <w:rFonts w:hint="default" w:ascii="Cambria" w:hAnsi="Cambria" w:cs="Cambria"/>
          <w:sz w:val="24"/>
          <w:szCs w:val="24"/>
        </w:rPr>
        <w:t>—a landmark reform that marked the first legislative challenge to paternal dominance.</w:t>
      </w:r>
    </w:p>
    <w:p w14:paraId="7DB05422">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Simultaneously, the </w:t>
      </w:r>
      <w:r>
        <w:rPr>
          <w:rStyle w:val="8"/>
          <w:rFonts w:hint="default" w:ascii="Cambria" w:hAnsi="Cambria" w:cs="Cambria"/>
          <w:sz w:val="24"/>
          <w:szCs w:val="24"/>
        </w:rPr>
        <w:t>Langham Place Group</w:t>
      </w:r>
      <w:r>
        <w:rPr>
          <w:rFonts w:hint="default" w:ascii="Cambria" w:hAnsi="Cambria" w:cs="Cambria"/>
          <w:sz w:val="24"/>
          <w:szCs w:val="24"/>
        </w:rPr>
        <w:t xml:space="preserve">, led by figures like Barbara Bodichon and Bessie Rayner Parkes, shifted feminism from charitable concern to </w:t>
      </w:r>
      <w:r>
        <w:rPr>
          <w:rStyle w:val="8"/>
          <w:rFonts w:hint="default" w:ascii="Cambria" w:hAnsi="Cambria" w:cs="Cambria"/>
          <w:sz w:val="24"/>
          <w:szCs w:val="24"/>
        </w:rPr>
        <w:t>structural reform</w:t>
      </w:r>
      <w:r>
        <w:rPr>
          <w:rFonts w:hint="default" w:ascii="Cambria" w:hAnsi="Cambria" w:cs="Cambria"/>
          <w:sz w:val="24"/>
          <w:szCs w:val="24"/>
        </w:rPr>
        <w:t xml:space="preserve">. Through publications such as the </w:t>
      </w:r>
      <w:r>
        <w:rPr>
          <w:rStyle w:val="6"/>
          <w:rFonts w:hint="default" w:ascii="Cambria" w:hAnsi="Cambria" w:cs="Cambria"/>
          <w:sz w:val="24"/>
          <w:szCs w:val="24"/>
        </w:rPr>
        <w:t>English Woman’s Journal</w:t>
      </w:r>
      <w:r>
        <w:rPr>
          <w:rFonts w:hint="default" w:ascii="Cambria" w:hAnsi="Cambria" w:cs="Cambria"/>
          <w:sz w:val="24"/>
          <w:szCs w:val="24"/>
        </w:rPr>
        <w:t xml:space="preserve">, they targeted systemic inequalities in </w:t>
      </w:r>
      <w:r>
        <w:rPr>
          <w:rStyle w:val="8"/>
          <w:rFonts w:hint="default" w:ascii="Cambria" w:hAnsi="Cambria" w:cs="Cambria"/>
          <w:sz w:val="24"/>
          <w:szCs w:val="24"/>
        </w:rPr>
        <w:t>property rights and employment</w:t>
      </w:r>
      <w:r>
        <w:rPr>
          <w:rFonts w:hint="default" w:ascii="Cambria" w:hAnsi="Cambria" w:cs="Cambria"/>
          <w:sz w:val="24"/>
          <w:szCs w:val="24"/>
        </w:rPr>
        <w:t>, signalling a transition from individual grievance to organized feminist critique.</w:t>
      </w:r>
    </w:p>
    <w:p w14:paraId="78A06A4B">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AE39BE0">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III. 🔥 The Victorian Legislative Revolution (1860–1890)</w:t>
      </w:r>
    </w:p>
    <w:p w14:paraId="290A218C">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mid-Victorian period marked a decisive phase where feminism intersected with </w:t>
      </w:r>
      <w:r>
        <w:rPr>
          <w:rStyle w:val="8"/>
          <w:rFonts w:hint="default" w:ascii="Cambria" w:hAnsi="Cambria" w:cs="Cambria"/>
          <w:sz w:val="24"/>
          <w:szCs w:val="24"/>
        </w:rPr>
        <w:t>liberal politics, bodily autonomy, and economic rights</w:t>
      </w:r>
      <w:r>
        <w:rPr>
          <w:rFonts w:hint="default" w:ascii="Cambria" w:hAnsi="Cambria" w:cs="Cambria"/>
          <w:sz w:val="24"/>
          <w:szCs w:val="24"/>
        </w:rPr>
        <w:t>, producing tangible legal transformations.</w:t>
      </w:r>
    </w:p>
    <w:p w14:paraId="1D0248D6">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A central struggle emerged around the </w:t>
      </w:r>
      <w:r>
        <w:rPr>
          <w:rStyle w:val="8"/>
          <w:rFonts w:hint="default" w:ascii="Cambria" w:hAnsi="Cambria" w:cs="Cambria"/>
          <w:sz w:val="24"/>
          <w:szCs w:val="24"/>
        </w:rPr>
        <w:t>Contagious Diseases Acts (CDAs)</w:t>
      </w:r>
      <w:r>
        <w:rPr>
          <w:rFonts w:hint="default" w:ascii="Cambria" w:hAnsi="Cambria" w:cs="Cambria"/>
          <w:sz w:val="24"/>
          <w:szCs w:val="24"/>
        </w:rPr>
        <w:t xml:space="preserve">, which authorized the state to forcibly examine women suspected of prostitution to safeguard public health. Josephine Butler led a nationwide campaign against these laws. This movement was historically significant because it united women across class lines to challenge a </w:t>
      </w:r>
      <w:r>
        <w:rPr>
          <w:rStyle w:val="8"/>
          <w:rFonts w:hint="default" w:ascii="Cambria" w:hAnsi="Cambria" w:cs="Cambria"/>
          <w:sz w:val="24"/>
          <w:szCs w:val="24"/>
        </w:rPr>
        <w:t>state-sanctioned sexual double standard</w:t>
      </w:r>
      <w:r>
        <w:rPr>
          <w:rFonts w:hint="default" w:ascii="Cambria" w:hAnsi="Cambria" w:cs="Cambria"/>
          <w:sz w:val="24"/>
          <w:szCs w:val="24"/>
        </w:rPr>
        <w:t xml:space="preserve">, framing the female body itself as a </w:t>
      </w:r>
      <w:r>
        <w:rPr>
          <w:rStyle w:val="8"/>
          <w:rFonts w:hint="default" w:ascii="Cambria" w:hAnsi="Cambria" w:cs="Cambria"/>
          <w:sz w:val="24"/>
          <w:szCs w:val="24"/>
        </w:rPr>
        <w:t>site of political resistance</w:t>
      </w:r>
      <w:r>
        <w:rPr>
          <w:rFonts w:hint="default" w:ascii="Cambria" w:hAnsi="Cambria" w:cs="Cambria"/>
          <w:sz w:val="24"/>
          <w:szCs w:val="24"/>
        </w:rPr>
        <w:t>.</w:t>
      </w:r>
    </w:p>
    <w:p w14:paraId="6709A54C">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Parallel to this was the struggle for </w:t>
      </w:r>
      <w:r>
        <w:rPr>
          <w:rStyle w:val="8"/>
          <w:rFonts w:hint="default" w:ascii="Cambria" w:hAnsi="Cambria" w:cs="Cambria"/>
          <w:sz w:val="24"/>
          <w:szCs w:val="24"/>
        </w:rPr>
        <w:t>economic personhood</w:t>
      </w:r>
      <w:r>
        <w:rPr>
          <w:rFonts w:hint="default" w:ascii="Cambria" w:hAnsi="Cambria" w:cs="Cambria"/>
          <w:sz w:val="24"/>
          <w:szCs w:val="24"/>
        </w:rPr>
        <w:t xml:space="preserve">, realized through the </w:t>
      </w:r>
      <w:r>
        <w:rPr>
          <w:rStyle w:val="8"/>
          <w:rFonts w:hint="default" w:ascii="Cambria" w:hAnsi="Cambria" w:cs="Cambria"/>
          <w:sz w:val="24"/>
          <w:szCs w:val="24"/>
        </w:rPr>
        <w:t>Married Women’s Property Acts of 1870 and 1882</w:t>
      </w:r>
      <w:r>
        <w:rPr>
          <w:rFonts w:hint="default" w:ascii="Cambria" w:hAnsi="Cambria" w:cs="Cambria"/>
          <w:sz w:val="24"/>
          <w:szCs w:val="24"/>
        </w:rPr>
        <w:t xml:space="preserve">. These laws allowed women to own property, retain earnings, and assume legal responsibility for debts. In many ways, these reforms were more transformative than suffrage, as they established women as </w:t>
      </w:r>
      <w:r>
        <w:rPr>
          <w:rStyle w:val="8"/>
          <w:rFonts w:hint="default" w:ascii="Cambria" w:hAnsi="Cambria" w:cs="Cambria"/>
          <w:sz w:val="24"/>
          <w:szCs w:val="24"/>
        </w:rPr>
        <w:t>independent legal and economic agents in everyday life</w:t>
      </w:r>
      <w:r>
        <w:rPr>
          <w:rFonts w:hint="default" w:ascii="Cambria" w:hAnsi="Cambria" w:cs="Cambria"/>
          <w:sz w:val="24"/>
          <w:szCs w:val="24"/>
        </w:rPr>
        <w:t>.</w:t>
      </w:r>
    </w:p>
    <w:p w14:paraId="2315AB9F">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1CE4721">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IV. 🗳️ The Suffrage Schism: Constitutionalism vs Militancy</w:t>
      </w:r>
    </w:p>
    <w:p w14:paraId="2A1A10E1">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By the late 19th and early 20th centuries, feminism crystallized around the demand for </w:t>
      </w:r>
      <w:r>
        <w:rPr>
          <w:rStyle w:val="8"/>
          <w:rFonts w:hint="default" w:ascii="Cambria" w:hAnsi="Cambria" w:cs="Cambria"/>
          <w:sz w:val="24"/>
          <w:szCs w:val="24"/>
        </w:rPr>
        <w:t>political enfranchisement</w:t>
      </w:r>
      <w:r>
        <w:rPr>
          <w:rFonts w:hint="default" w:ascii="Cambria" w:hAnsi="Cambria" w:cs="Cambria"/>
          <w:sz w:val="24"/>
          <w:szCs w:val="24"/>
        </w:rPr>
        <w:t xml:space="preserve">. However, this phase was marked by a strategic divide—often referred to as the </w:t>
      </w:r>
      <w:r>
        <w:rPr>
          <w:rStyle w:val="8"/>
          <w:rFonts w:hint="default" w:ascii="Cambria" w:hAnsi="Cambria" w:cs="Cambria"/>
          <w:sz w:val="24"/>
          <w:szCs w:val="24"/>
        </w:rPr>
        <w:t>“Suffrage Schism.”</w:t>
      </w:r>
    </w:p>
    <w:p w14:paraId="301381FF">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constitutionalist approach was represented by the National Union of Women’s Suffrage Societies (NUWSS), led by </w:t>
      </w:r>
      <w:r>
        <w:rPr>
          <w:rFonts w:hint="default" w:ascii="Cambria" w:hAnsi="Cambria" w:cs="Cambria"/>
          <w:b/>
          <w:bCs/>
          <w:sz w:val="24"/>
          <w:szCs w:val="24"/>
        </w:rPr>
        <w:t>Millicent Fawcett.</w:t>
      </w:r>
      <w:r>
        <w:rPr>
          <w:rFonts w:hint="default" w:ascii="Cambria" w:hAnsi="Cambria" w:cs="Cambria"/>
          <w:sz w:val="24"/>
          <w:szCs w:val="24"/>
        </w:rPr>
        <w:t xml:space="preserve"> The suffragists relied on petitions, lobbying, and rational argumentation, believing that demonstrating women’s respectability and reason would eventually secure the vote.</w:t>
      </w:r>
    </w:p>
    <w:p w14:paraId="1E65ABC7">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contrast, the Women’s Social and Political Union (WSPU), led by </w:t>
      </w:r>
      <w:r>
        <w:rPr>
          <w:rFonts w:hint="default" w:ascii="Cambria" w:hAnsi="Cambria" w:cs="Cambria"/>
          <w:b/>
          <w:bCs/>
          <w:sz w:val="24"/>
          <w:szCs w:val="24"/>
        </w:rPr>
        <w:t>Emmeline Pankhurst and her daughter Christabel, a</w:t>
      </w:r>
      <w:r>
        <w:rPr>
          <w:rFonts w:hint="default" w:ascii="Cambria" w:hAnsi="Cambria" w:cs="Cambria"/>
          <w:sz w:val="24"/>
          <w:szCs w:val="24"/>
        </w:rPr>
        <w:t>dopted militant tactics such as window-smashing, arson, and hunger strikes. Their activism forced the issue into public consciousness, but also provoked severe state repression.</w:t>
      </w:r>
    </w:p>
    <w:p w14:paraId="0D777957">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passage of the </w:t>
      </w:r>
      <w:r>
        <w:rPr>
          <w:rStyle w:val="8"/>
          <w:rFonts w:hint="default" w:ascii="Cambria" w:hAnsi="Cambria" w:cs="Cambria"/>
          <w:sz w:val="24"/>
          <w:szCs w:val="24"/>
        </w:rPr>
        <w:t>Prisoners (Temporary Discharge for Ill Health) Act (1913)</w:t>
      </w:r>
      <w:r>
        <w:rPr>
          <w:rFonts w:hint="default" w:ascii="Cambria" w:hAnsi="Cambria" w:cs="Cambria"/>
          <w:sz w:val="24"/>
          <w:szCs w:val="24"/>
        </w:rPr>
        <w:t xml:space="preserve">—popularly known as the “Cat and Mouse Act”—revealed the tensions between </w:t>
      </w:r>
      <w:r>
        <w:rPr>
          <w:rStyle w:val="8"/>
          <w:rFonts w:hint="default" w:ascii="Cambria" w:hAnsi="Cambria" w:cs="Cambria"/>
          <w:sz w:val="24"/>
          <w:szCs w:val="24"/>
        </w:rPr>
        <w:t>state authority and individual resistance</w:t>
      </w:r>
      <w:r>
        <w:rPr>
          <w:rFonts w:hint="default" w:ascii="Cambria" w:hAnsi="Cambria" w:cs="Cambria"/>
          <w:sz w:val="24"/>
          <w:szCs w:val="24"/>
        </w:rPr>
        <w:t>, as hunger-striking women were temporarily released and re-arrested.</w:t>
      </w:r>
    </w:p>
    <w:p w14:paraId="4814DC8A">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86BF82A">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V. 🏭 Intersectional Origins: Labour and Gender (Matchgirls’ Strike, 1888)</w:t>
      </w:r>
    </w:p>
    <w:p w14:paraId="6E953731">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It is analytically reductive to view British feminism as solely a middle-class movement. The </w:t>
      </w:r>
      <w:r>
        <w:rPr>
          <w:rStyle w:val="8"/>
          <w:rFonts w:hint="default" w:ascii="Cambria" w:hAnsi="Cambria" w:cs="Cambria"/>
          <w:sz w:val="24"/>
          <w:szCs w:val="24"/>
        </w:rPr>
        <w:t>Matchgirls’ Strike of 1888</w:t>
      </w:r>
      <w:r>
        <w:rPr>
          <w:rFonts w:hint="default" w:ascii="Cambria" w:hAnsi="Cambria" w:cs="Cambria"/>
          <w:sz w:val="24"/>
          <w:szCs w:val="24"/>
        </w:rPr>
        <w:t xml:space="preserve"> at the Bryant &amp; May factory demonstrated the intersection of </w:t>
      </w:r>
      <w:r>
        <w:rPr>
          <w:rStyle w:val="8"/>
          <w:rFonts w:hint="default" w:ascii="Cambria" w:hAnsi="Cambria" w:cs="Cambria"/>
          <w:sz w:val="24"/>
          <w:szCs w:val="24"/>
        </w:rPr>
        <w:t>labour rights and gender oppression</w:t>
      </w:r>
      <w:r>
        <w:rPr>
          <w:rFonts w:hint="default" w:ascii="Cambria" w:hAnsi="Cambria" w:cs="Cambria"/>
          <w:sz w:val="24"/>
          <w:szCs w:val="24"/>
        </w:rPr>
        <w:t>.</w:t>
      </w:r>
    </w:p>
    <w:p w14:paraId="02F688C7">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Led with the support of Annie Besant, over 1,400 working-class women protested against exploitative wages and hazardous working conditions. Their success challenged the assumption that women were politically passive and showed that feminist consciousness could emerge within </w:t>
      </w:r>
      <w:r>
        <w:rPr>
          <w:rStyle w:val="8"/>
          <w:rFonts w:hint="default" w:ascii="Cambria" w:hAnsi="Cambria" w:cs="Cambria"/>
          <w:sz w:val="24"/>
          <w:szCs w:val="24"/>
        </w:rPr>
        <w:t>industrial and working-class contexts</w:t>
      </w:r>
      <w:r>
        <w:rPr>
          <w:rFonts w:hint="default" w:ascii="Cambria" w:hAnsi="Cambria" w:cs="Cambria"/>
          <w:sz w:val="24"/>
          <w:szCs w:val="24"/>
        </w:rPr>
        <w:t>.</w:t>
      </w:r>
    </w:p>
    <w:p w14:paraId="3B0BC004">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This episode marks an early form of what contemporary theory would call </w:t>
      </w:r>
      <w:r>
        <w:rPr>
          <w:rStyle w:val="8"/>
          <w:rFonts w:hint="default" w:ascii="Cambria" w:hAnsi="Cambria" w:cs="Cambria"/>
          <w:sz w:val="24"/>
          <w:szCs w:val="24"/>
        </w:rPr>
        <w:t>intersectionality</w:t>
      </w:r>
      <w:r>
        <w:rPr>
          <w:rFonts w:hint="default" w:ascii="Cambria" w:hAnsi="Cambria" w:cs="Cambria"/>
          <w:sz w:val="24"/>
          <w:szCs w:val="24"/>
        </w:rPr>
        <w:t>, where class and gender struggles converge.</w:t>
      </w:r>
    </w:p>
    <w:p w14:paraId="57831402">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C602DE2">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VI. 🧠 Key Intellectual Frameworks and Thinkers</w:t>
      </w:r>
    </w:p>
    <w:p w14:paraId="71BD3F12">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theoretical consolidation of British feminism was significantly shaped by liberal thinkers such as </w:t>
      </w:r>
      <w:r>
        <w:rPr>
          <w:rFonts w:hint="default" w:ascii="Cambria" w:hAnsi="Cambria" w:cs="Cambria"/>
          <w:b/>
          <w:bCs/>
          <w:sz w:val="24"/>
          <w:szCs w:val="24"/>
        </w:rPr>
        <w:t>John Stuart Mill,</w:t>
      </w:r>
      <w:r>
        <w:rPr>
          <w:rFonts w:hint="default" w:ascii="Cambria" w:hAnsi="Cambria" w:cs="Cambria"/>
          <w:sz w:val="24"/>
          <w:szCs w:val="24"/>
        </w:rPr>
        <w:t xml:space="preserve"> whose </w:t>
      </w:r>
      <w:r>
        <w:rPr>
          <w:rStyle w:val="6"/>
          <w:rFonts w:hint="default" w:ascii="Cambria" w:hAnsi="Cambria" w:cs="Cambria"/>
          <w:sz w:val="24"/>
          <w:szCs w:val="24"/>
        </w:rPr>
        <w:t>The Subjection of Women</w:t>
      </w:r>
      <w:r>
        <w:rPr>
          <w:rFonts w:hint="default" w:ascii="Cambria" w:hAnsi="Cambria" w:cs="Cambria"/>
          <w:sz w:val="24"/>
          <w:szCs w:val="24"/>
        </w:rPr>
        <w:t xml:space="preserve"> (1869) argued that gender inequality was not natural but a </w:t>
      </w:r>
      <w:r>
        <w:rPr>
          <w:rStyle w:val="8"/>
          <w:rFonts w:hint="default" w:ascii="Cambria" w:hAnsi="Cambria" w:cs="Cambria"/>
          <w:sz w:val="24"/>
          <w:szCs w:val="24"/>
        </w:rPr>
        <w:t>historical relic obstructing human progress</w:t>
      </w:r>
      <w:r>
        <w:rPr>
          <w:rFonts w:hint="default" w:ascii="Cambria" w:hAnsi="Cambria" w:cs="Cambria"/>
          <w:sz w:val="24"/>
          <w:szCs w:val="24"/>
        </w:rPr>
        <w:t xml:space="preserve">. His work elevated feminism into the domain of </w:t>
      </w:r>
      <w:r>
        <w:rPr>
          <w:rStyle w:val="8"/>
          <w:rFonts w:hint="default" w:ascii="Cambria" w:hAnsi="Cambria" w:cs="Cambria"/>
          <w:sz w:val="24"/>
          <w:szCs w:val="24"/>
        </w:rPr>
        <w:t>formal political theory</w:t>
      </w:r>
      <w:r>
        <w:rPr>
          <w:rFonts w:hint="default" w:ascii="Cambria" w:hAnsi="Cambria" w:cs="Cambria"/>
          <w:sz w:val="24"/>
          <w:szCs w:val="24"/>
        </w:rPr>
        <w:t>.</w:t>
      </w:r>
    </w:p>
    <w:p w14:paraId="3CF598F1">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Equally important, though often under-recognized, was Harriet Taylor Mill, whose writings emphasized the </w:t>
      </w:r>
      <w:r>
        <w:rPr>
          <w:rStyle w:val="8"/>
          <w:rFonts w:hint="default" w:ascii="Cambria" w:hAnsi="Cambria" w:cs="Cambria"/>
          <w:sz w:val="24"/>
          <w:szCs w:val="24"/>
        </w:rPr>
        <w:t>structural oppression embedded within marriage and domestic life</w:t>
      </w:r>
      <w:r>
        <w:rPr>
          <w:rFonts w:hint="default" w:ascii="Cambria" w:hAnsi="Cambria" w:cs="Cambria"/>
          <w:sz w:val="24"/>
          <w:szCs w:val="24"/>
        </w:rPr>
        <w:t>, portraying it as a form of social subordination akin to slavery.</w:t>
      </w:r>
    </w:p>
    <w:p w14:paraId="0EC55918">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contemporary historiography, scholars like </w:t>
      </w:r>
      <w:bookmarkStart w:id="0" w:name="_GoBack"/>
      <w:r>
        <w:rPr>
          <w:rFonts w:hint="default" w:ascii="Cambria" w:hAnsi="Cambria" w:cs="Cambria"/>
          <w:b/>
          <w:bCs/>
          <w:sz w:val="24"/>
          <w:szCs w:val="24"/>
        </w:rPr>
        <w:t xml:space="preserve">Sandra Stanley Holton </w:t>
      </w:r>
      <w:bookmarkEnd w:id="0"/>
      <w:r>
        <w:rPr>
          <w:rFonts w:hint="default" w:ascii="Cambria" w:hAnsi="Cambria" w:cs="Cambria"/>
          <w:sz w:val="24"/>
          <w:szCs w:val="24"/>
        </w:rPr>
        <w:t>have further nuanced our understanding by highlighting the diversity within the movement, particularly the interactions between moderate and militant strands, and their collective contribution to democratic transformation.</w:t>
      </w:r>
    </w:p>
    <w:p w14:paraId="290F00DA">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VII. 🗳️ The 1918 Breakthrough and the Completion of Suffrage (1918–1928)</w:t>
      </w:r>
    </w:p>
    <w:p w14:paraId="2D53CD9A">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culmination of decades of feminist struggle in Britain was achieved through a </w:t>
      </w:r>
      <w:r>
        <w:rPr>
          <w:rStyle w:val="8"/>
          <w:rFonts w:hint="default" w:ascii="Cambria" w:hAnsi="Cambria" w:cs="Cambria"/>
          <w:sz w:val="24"/>
          <w:szCs w:val="24"/>
        </w:rPr>
        <w:t>two-stage expansion of political rights</w:t>
      </w:r>
      <w:r>
        <w:rPr>
          <w:rFonts w:hint="default" w:ascii="Cambria" w:hAnsi="Cambria" w:cs="Cambria"/>
          <w:sz w:val="24"/>
          <w:szCs w:val="24"/>
        </w:rPr>
        <w:t>, reflecting both progress and continued limitation.</w:t>
      </w:r>
    </w:p>
    <w:p w14:paraId="55A3331E">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w:t>
      </w:r>
      <w:r>
        <w:rPr>
          <w:rStyle w:val="8"/>
          <w:rFonts w:hint="default" w:ascii="Cambria" w:hAnsi="Cambria" w:cs="Cambria"/>
          <w:sz w:val="24"/>
          <w:szCs w:val="24"/>
        </w:rPr>
        <w:t>Representation of the People Act (1918)</w:t>
      </w:r>
      <w:r>
        <w:rPr>
          <w:rFonts w:hint="default" w:ascii="Cambria" w:hAnsi="Cambria" w:cs="Cambria"/>
          <w:sz w:val="24"/>
          <w:szCs w:val="24"/>
        </w:rPr>
        <w:t xml:space="preserve"> marked the first major breakthrough. It granted voting rights to women—but only </w:t>
      </w:r>
      <w:r>
        <w:rPr>
          <w:rStyle w:val="8"/>
          <w:rFonts w:hint="default" w:ascii="Cambria" w:hAnsi="Cambria" w:cs="Cambria"/>
          <w:sz w:val="24"/>
          <w:szCs w:val="24"/>
        </w:rPr>
        <w:t>partially and conditionally</w:t>
      </w:r>
      <w:r>
        <w:rPr>
          <w:rFonts w:hint="default" w:ascii="Cambria" w:hAnsi="Cambria" w:cs="Cambria"/>
          <w:sz w:val="24"/>
          <w:szCs w:val="24"/>
        </w:rPr>
        <w:t xml:space="preserve">. Women had to be </w:t>
      </w:r>
      <w:r>
        <w:rPr>
          <w:rStyle w:val="8"/>
          <w:rFonts w:hint="default" w:ascii="Cambria" w:hAnsi="Cambria" w:cs="Cambria"/>
          <w:sz w:val="24"/>
          <w:szCs w:val="24"/>
        </w:rPr>
        <w:t>over the age of 30</w:t>
      </w:r>
      <w:r>
        <w:rPr>
          <w:rFonts w:hint="default" w:ascii="Cambria" w:hAnsi="Cambria" w:cs="Cambria"/>
          <w:sz w:val="24"/>
          <w:szCs w:val="24"/>
        </w:rPr>
        <w:t xml:space="preserve"> and meet certain </w:t>
      </w:r>
      <w:r>
        <w:rPr>
          <w:rStyle w:val="8"/>
          <w:rFonts w:hint="default" w:ascii="Cambria" w:hAnsi="Cambria" w:cs="Cambria"/>
          <w:sz w:val="24"/>
          <w:szCs w:val="24"/>
        </w:rPr>
        <w:t>property qualifications</w:t>
      </w:r>
      <w:r>
        <w:rPr>
          <w:rFonts w:hint="default" w:ascii="Cambria" w:hAnsi="Cambria" w:cs="Cambria"/>
          <w:sz w:val="24"/>
          <w:szCs w:val="24"/>
        </w:rPr>
        <w:t>, whereas men could vote from the age of 21 without such restrictions.</w:t>
      </w:r>
    </w:p>
    <w:p w14:paraId="70EFE26C">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Conceptually, this reveals an important point:</w:t>
      </w:r>
      <w:r>
        <w:rPr>
          <w:rFonts w:hint="default" w:ascii="Cambria" w:hAnsi="Cambria" w:cs="Cambria"/>
          <w:sz w:val="24"/>
          <w:szCs w:val="24"/>
        </w:rPr>
        <w:br w:type="textWrapping"/>
      </w:r>
      <w:r>
        <w:rPr>
          <w:rFonts w:hint="default" w:ascii="Cambria" w:hAnsi="Cambria" w:cs="Cambria"/>
          <w:sz w:val="24"/>
          <w:szCs w:val="24"/>
        </w:rPr>
        <w:t xml:space="preserve">Even at the moment of “victory,” women were still not treated as </w:t>
      </w:r>
      <w:r>
        <w:rPr>
          <w:rStyle w:val="8"/>
          <w:rFonts w:hint="default" w:ascii="Cambria" w:hAnsi="Cambria" w:cs="Cambria"/>
          <w:sz w:val="24"/>
          <w:szCs w:val="24"/>
        </w:rPr>
        <w:t>fully equal political citizens</w:t>
      </w:r>
      <w:r>
        <w:rPr>
          <w:rFonts w:hint="default" w:ascii="Cambria" w:hAnsi="Cambria" w:cs="Cambria"/>
          <w:sz w:val="24"/>
          <w:szCs w:val="24"/>
        </w:rPr>
        <w:t xml:space="preserve">, but rather as a </w:t>
      </w:r>
      <w:r>
        <w:rPr>
          <w:rStyle w:val="8"/>
          <w:rFonts w:hint="default" w:ascii="Cambria" w:hAnsi="Cambria" w:cs="Cambria"/>
          <w:sz w:val="24"/>
          <w:szCs w:val="24"/>
        </w:rPr>
        <w:t>qualified and controlled electorate</w:t>
      </w:r>
      <w:r>
        <w:rPr>
          <w:rFonts w:hint="default" w:ascii="Cambria" w:hAnsi="Cambria" w:cs="Cambria"/>
          <w:sz w:val="24"/>
          <w:szCs w:val="24"/>
        </w:rPr>
        <w:t>.</w:t>
      </w:r>
    </w:p>
    <w:p w14:paraId="49838B4E">
      <w:pPr>
        <w:pStyle w:val="7"/>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However, this partial inclusion laid the foundation for further reform. A decade later, the </w:t>
      </w:r>
      <w:r>
        <w:rPr>
          <w:rStyle w:val="8"/>
          <w:rFonts w:hint="default" w:ascii="Cambria" w:hAnsi="Cambria" w:cs="Cambria"/>
          <w:sz w:val="24"/>
          <w:szCs w:val="24"/>
        </w:rPr>
        <w:t>Equal Franchise Act (1928)</w:t>
      </w:r>
      <w:r>
        <w:rPr>
          <w:rFonts w:hint="default" w:ascii="Cambria" w:hAnsi="Cambria" w:cs="Cambria"/>
          <w:sz w:val="24"/>
          <w:szCs w:val="24"/>
        </w:rPr>
        <w:t xml:space="preserve"> finally established </w:t>
      </w:r>
      <w:r>
        <w:rPr>
          <w:rStyle w:val="8"/>
          <w:rFonts w:hint="default" w:ascii="Cambria" w:hAnsi="Cambria" w:cs="Cambria"/>
          <w:sz w:val="24"/>
          <w:szCs w:val="24"/>
        </w:rPr>
        <w:t>complete electoral equality</w:t>
      </w:r>
      <w:r>
        <w:rPr>
          <w:rFonts w:hint="default" w:ascii="Cambria" w:hAnsi="Cambria" w:cs="Cambria"/>
          <w:sz w:val="24"/>
          <w:szCs w:val="24"/>
        </w:rPr>
        <w:t>, granting women the vote on the same terms as men (age 21, no property restriction).</w:t>
      </w:r>
    </w:p>
    <w:p w14:paraId="31484DCD">
      <w:pPr>
        <w:jc w:val="both"/>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A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2026-03-26T07:21:08Z</dcterms:created>
  <dc:creator>ASUS</dc:creator>
  <cp:lastModifiedBy>WPS_1743332713</cp:lastModifiedBy>
  <dcterms:modified xsi:type="dcterms:W3CDTF">2026-03-26T07:23:07Z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1FD68D719B364CF7BF45851E6472F692_12</vt:lpwstr>
  </property>
</Properties>
</file>